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7103C" w14:textId="68DF3102" w:rsidR="002D64E2" w:rsidRPr="001769F6" w:rsidRDefault="00433DD7" w:rsidP="00736AF2">
      <w:pPr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433DD7">
        <w:rPr>
          <w:rFonts w:ascii="Arial" w:hAnsi="Arial" w:cs="Arial"/>
          <w:color w:val="000000" w:themeColor="text1"/>
          <w:sz w:val="36"/>
          <w:szCs w:val="36"/>
          <w:lang w:val="en-US"/>
        </w:rPr>
        <w:t xml:space="preserve">Proposed Changes to Engineering Recommendation P2 </w:t>
      </w:r>
      <w:r w:rsidR="00A87F4B" w:rsidRPr="00A87F4B">
        <w:rPr>
          <w:rFonts w:ascii="Arial" w:hAnsi="Arial" w:cs="Arial"/>
          <w:color w:val="000000" w:themeColor="text1"/>
          <w:sz w:val="36"/>
          <w:szCs w:val="36"/>
          <w:lang w:val="en-US"/>
        </w:rPr>
        <w:t>and G5</w:t>
      </w:r>
    </w:p>
    <w:p w14:paraId="15319FC0" w14:textId="62A3EA20" w:rsidR="00AF5BC4" w:rsidRDefault="009F06DF" w:rsidP="000F7D53">
      <w:pPr>
        <w:pStyle w:val="BodyText"/>
        <w:rPr>
          <w:rFonts w:ascii="Arial" w:hAnsi="Arial" w:cs="Arial"/>
        </w:rPr>
      </w:pPr>
      <w:r w:rsidRPr="00AF5BC4">
        <w:rPr>
          <w:rFonts w:ascii="Arial" w:hAnsi="Arial" w:cs="Arial"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0B0DA3" wp14:editId="794C1223">
                <wp:simplePos x="0" y="0"/>
                <wp:positionH relativeFrom="margin">
                  <wp:posOffset>-1245</wp:posOffset>
                </wp:positionH>
                <wp:positionV relativeFrom="paragraph">
                  <wp:posOffset>30810</wp:posOffset>
                </wp:positionV>
                <wp:extent cx="8839200" cy="45085"/>
                <wp:effectExtent l="0" t="0" r="1905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0" cy="4508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95373" id="Rectangle 1" o:spid="_x0000_s1026" style="position:absolute;margin-left:-.1pt;margin-top:2.45pt;width:696pt;height:3.5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" fillcolor="#5b9bd5 [3204]" strokecolor="#41719c" strokeweight="1pt">
                <w10:wrap anchorx="margin"/>
              </v:rect>
            </w:pict>
          </mc:Fallback>
        </mc:AlternateContent>
      </w:r>
    </w:p>
    <w:p w14:paraId="09C971ED" w14:textId="610424AF" w:rsidR="000F7D53" w:rsidRPr="00AF5BC4" w:rsidRDefault="000F7D53" w:rsidP="000F7D53">
      <w:pPr>
        <w:pStyle w:val="BodyText"/>
        <w:rPr>
          <w:rFonts w:ascii="Arial" w:hAnsi="Arial" w:cs="Arial"/>
        </w:rPr>
      </w:pPr>
      <w:r w:rsidRPr="00AF5BC4">
        <w:rPr>
          <w:rFonts w:ascii="Arial" w:hAnsi="Arial" w:cs="Arial"/>
        </w:rPr>
        <w:t>Stakeholders are invited to respond to this consultation, expressing their views or providing any further evidence on any of the matters contained within the consultation document</w:t>
      </w:r>
      <w:r w:rsidR="00F177E0">
        <w:rPr>
          <w:rFonts w:ascii="Arial" w:hAnsi="Arial" w:cs="Arial"/>
        </w:rPr>
        <w:t>s</w:t>
      </w:r>
      <w:r w:rsidRPr="00AF5BC4">
        <w:rPr>
          <w:rFonts w:ascii="Arial" w:hAnsi="Arial" w:cs="Arial"/>
        </w:rPr>
        <w:t>. Stakeholders are invited to supply the rationale for their responses to the set questions.</w:t>
      </w:r>
    </w:p>
    <w:p w14:paraId="183BAE7F" w14:textId="01B3A52A" w:rsidR="00BA71E3" w:rsidRDefault="000F7D53" w:rsidP="00433DD7">
      <w:pPr>
        <w:pStyle w:val="BodyText"/>
        <w:jc w:val="both"/>
        <w:rPr>
          <w:rFonts w:ascii="Arial" w:hAnsi="Arial" w:cs="Arial"/>
        </w:rPr>
      </w:pPr>
      <w:r w:rsidRPr="00AF5BC4">
        <w:rPr>
          <w:rFonts w:ascii="Arial" w:hAnsi="Arial" w:cs="Arial"/>
        </w:rPr>
        <w:t xml:space="preserve">Please send your responses </w:t>
      </w:r>
      <w:r w:rsidR="00736AF2" w:rsidRPr="00AF5BC4">
        <w:rPr>
          <w:rFonts w:ascii="Arial" w:hAnsi="Arial" w:cs="Arial"/>
        </w:rPr>
        <w:t xml:space="preserve">and comments </w:t>
      </w:r>
      <w:r w:rsidRPr="00AF5BC4">
        <w:rPr>
          <w:rFonts w:ascii="Arial" w:hAnsi="Arial" w:cs="Arial"/>
        </w:rPr>
        <w:t xml:space="preserve">by </w:t>
      </w:r>
      <w:r w:rsidR="0019731F" w:rsidRPr="00B064A6">
        <w:rPr>
          <w:rFonts w:ascii="Arial" w:hAnsi="Arial" w:cs="Arial"/>
          <w:b/>
        </w:rPr>
        <w:t>17:00</w:t>
      </w:r>
      <w:r w:rsidR="009826D6" w:rsidRPr="00B064A6">
        <w:rPr>
          <w:rFonts w:ascii="Arial" w:hAnsi="Arial" w:cs="Arial"/>
          <w:b/>
        </w:rPr>
        <w:t xml:space="preserve"> on </w:t>
      </w:r>
      <w:r w:rsidR="00B064A6" w:rsidRPr="00B064A6">
        <w:rPr>
          <w:rFonts w:ascii="Arial" w:hAnsi="Arial" w:cs="Arial"/>
          <w:b/>
        </w:rPr>
        <w:t>16</w:t>
      </w:r>
      <w:r w:rsidR="001405E3" w:rsidRPr="00B064A6">
        <w:rPr>
          <w:rFonts w:ascii="Arial" w:hAnsi="Arial" w:cs="Arial"/>
          <w:b/>
        </w:rPr>
        <w:t xml:space="preserve"> </w:t>
      </w:r>
      <w:r w:rsidR="001B2671" w:rsidRPr="00B064A6">
        <w:rPr>
          <w:rFonts w:ascii="Arial" w:hAnsi="Arial" w:cs="Arial"/>
          <w:b/>
        </w:rPr>
        <w:t>February</w:t>
      </w:r>
      <w:r w:rsidR="00AF5BC4" w:rsidRPr="00B064A6">
        <w:rPr>
          <w:rFonts w:ascii="Arial" w:hAnsi="Arial" w:cs="Arial"/>
          <w:b/>
        </w:rPr>
        <w:t xml:space="preserve"> </w:t>
      </w:r>
      <w:r w:rsidR="001B254C" w:rsidRPr="00B064A6">
        <w:rPr>
          <w:rFonts w:ascii="Arial" w:hAnsi="Arial" w:cs="Arial"/>
          <w:b/>
        </w:rPr>
        <w:t>2024</w:t>
      </w:r>
      <w:r w:rsidRPr="00AF5BC4">
        <w:rPr>
          <w:rFonts w:ascii="Arial" w:hAnsi="Arial" w:cs="Arial"/>
        </w:rPr>
        <w:t xml:space="preserve"> to </w:t>
      </w:r>
      <w:hyperlink r:id="rId8" w:history="1">
        <w:r w:rsidR="00433DD7" w:rsidRPr="00A87F4B">
          <w:rPr>
            <w:rStyle w:val="Hyperlink"/>
            <w:u w:val="none"/>
          </w:rPr>
          <w:t>Ahmed.Mohamed@nienetworks.co.uk</w:t>
        </w:r>
      </w:hyperlink>
      <w:r w:rsidR="00433DD7">
        <w:t xml:space="preserve"> </w:t>
      </w:r>
      <w:r w:rsidR="00A87F4B">
        <w:t xml:space="preserve">or </w:t>
      </w:r>
      <w:hyperlink r:id="rId9" w:history="1">
        <w:r w:rsidR="00A87F4B" w:rsidRPr="00B65536">
          <w:rPr>
            <w:rStyle w:val="Hyperlink"/>
            <w:u w:val="none"/>
          </w:rPr>
          <w:t>Richard.Derby@nienetworks.co.uk</w:t>
        </w:r>
      </w:hyperlink>
      <w:r w:rsidR="00A87F4B">
        <w:t xml:space="preserve"> </w:t>
      </w:r>
      <w:r w:rsidRPr="00AF5BC4">
        <w:rPr>
          <w:rFonts w:ascii="Arial" w:hAnsi="Arial" w:cs="Arial"/>
        </w:rPr>
        <w:t>and title your email ‘</w:t>
      </w:r>
      <w:r w:rsidR="0019731F" w:rsidRPr="00AF5BC4">
        <w:rPr>
          <w:rFonts w:ascii="Arial" w:hAnsi="Arial" w:cs="Arial"/>
        </w:rPr>
        <w:t xml:space="preserve">Consultation Response </w:t>
      </w:r>
      <w:r w:rsidR="001C3583">
        <w:rPr>
          <w:rFonts w:ascii="Arial" w:hAnsi="Arial" w:cs="Arial"/>
        </w:rPr>
        <w:t xml:space="preserve">to </w:t>
      </w:r>
      <w:r w:rsidR="002649FB">
        <w:rPr>
          <w:rFonts w:ascii="Arial" w:hAnsi="Arial" w:cs="Arial"/>
        </w:rPr>
        <w:t xml:space="preserve">EREC </w:t>
      </w:r>
      <w:r w:rsidR="00006131">
        <w:rPr>
          <w:rFonts w:ascii="Arial" w:hAnsi="Arial" w:cs="Arial"/>
        </w:rPr>
        <w:t>P2</w:t>
      </w:r>
      <w:r w:rsidR="00A87F4B">
        <w:rPr>
          <w:rFonts w:ascii="Arial" w:hAnsi="Arial" w:cs="Arial"/>
        </w:rPr>
        <w:t xml:space="preserve"> and G5</w:t>
      </w:r>
      <w:r w:rsidRPr="00AF5BC4">
        <w:rPr>
          <w:rFonts w:ascii="Arial" w:hAnsi="Arial" w:cs="Arial"/>
        </w:rPr>
        <w:t xml:space="preserve">’. Please note that any responses received after the deadline </w:t>
      </w:r>
      <w:r w:rsidR="00A87F4B" w:rsidRPr="00A87F4B">
        <w:rPr>
          <w:rFonts w:ascii="Arial" w:hAnsi="Arial" w:cs="Arial"/>
        </w:rPr>
        <w:t>may not be taken into consideration</w:t>
      </w:r>
      <w:r w:rsidR="00A87F4B">
        <w:rPr>
          <w:rFonts w:ascii="Arial" w:hAnsi="Arial" w:cs="Arial"/>
        </w:rPr>
        <w:t>.</w:t>
      </w:r>
    </w:p>
    <w:p w14:paraId="172E7E23" w14:textId="77B06518" w:rsidR="00BA71E3" w:rsidRPr="00AF5BC4" w:rsidRDefault="00BA71E3" w:rsidP="00433DD7">
      <w:pPr>
        <w:pStyle w:val="BodyText"/>
        <w:jc w:val="both"/>
        <w:rPr>
          <w:rFonts w:ascii="Arial" w:hAnsi="Arial" w:cs="Arial"/>
        </w:rPr>
      </w:pPr>
      <w:r w:rsidRPr="00AF5BC4">
        <w:rPr>
          <w:rFonts w:ascii="Arial" w:hAnsi="Arial" w:cs="Arial"/>
        </w:rPr>
        <w:t>Any queries on the content of the consultation pro-forma should be addressed</w:t>
      </w:r>
      <w:r>
        <w:rPr>
          <w:rFonts w:ascii="Arial" w:hAnsi="Arial" w:cs="Arial"/>
        </w:rPr>
        <w:t xml:space="preserve"> to </w:t>
      </w:r>
      <w:hyperlink r:id="rId10" w:history="1">
        <w:r w:rsidR="00A87F4B" w:rsidRPr="00A87F4B">
          <w:rPr>
            <w:rStyle w:val="Hyperlink"/>
            <w:u w:val="none"/>
          </w:rPr>
          <w:t>Ahmed.Mohamed@nienetworks.co.uk</w:t>
        </w:r>
      </w:hyperlink>
      <w:r w:rsidR="00A87F4B">
        <w:t xml:space="preserve"> or </w:t>
      </w:r>
      <w:hyperlink r:id="rId11" w:history="1">
        <w:r w:rsidR="00A87F4B" w:rsidRPr="00B65536">
          <w:rPr>
            <w:rStyle w:val="Hyperlink"/>
            <w:u w:val="none"/>
          </w:rPr>
          <w:t>Richard.Derby@nienetworks.co.uk</w:t>
        </w:r>
      </w:hyperlink>
      <w:r>
        <w:t>.</w:t>
      </w:r>
      <w:r>
        <w:rPr>
          <w:rFonts w:ascii="Arial" w:hAnsi="Arial" w:cs="Arial"/>
        </w:rPr>
        <w:t xml:space="preserve"> </w:t>
      </w:r>
    </w:p>
    <w:p w14:paraId="205C0E33" w14:textId="1B6DE7E1" w:rsidR="000F7D53" w:rsidRPr="00AF5BC4" w:rsidRDefault="000F7D53" w:rsidP="000F7D53">
      <w:pPr>
        <w:pStyle w:val="BodyText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10692"/>
      </w:tblGrid>
      <w:tr w:rsidR="000F7D53" w14:paraId="34340229" w14:textId="77777777" w:rsidTr="001B254C">
        <w:tc>
          <w:tcPr>
            <w:tcW w:w="3148" w:type="dxa"/>
          </w:tcPr>
          <w:p w14:paraId="06998C81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5BC4">
              <w:rPr>
                <w:rFonts w:ascii="Arial" w:hAnsi="Arial" w:cs="Arial"/>
                <w:b/>
                <w:sz w:val="20"/>
                <w:szCs w:val="20"/>
              </w:rPr>
              <w:t>Respondent</w:t>
            </w:r>
          </w:p>
        </w:tc>
        <w:tc>
          <w:tcPr>
            <w:tcW w:w="10692" w:type="dxa"/>
          </w:tcPr>
          <w:p w14:paraId="4BAFD966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F5BC4">
              <w:rPr>
                <w:rFonts w:ascii="Arial" w:hAnsi="Arial" w:cs="Arial"/>
                <w:i/>
                <w:sz w:val="20"/>
                <w:szCs w:val="20"/>
              </w:rPr>
              <w:t>Name</w:t>
            </w:r>
          </w:p>
        </w:tc>
      </w:tr>
      <w:tr w:rsidR="000F7D53" w14:paraId="4671E6DA" w14:textId="77777777" w:rsidTr="001B254C">
        <w:trPr>
          <w:trHeight w:val="936"/>
        </w:trPr>
        <w:tc>
          <w:tcPr>
            <w:tcW w:w="3148" w:type="dxa"/>
          </w:tcPr>
          <w:p w14:paraId="4A43AC25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5BC4">
              <w:rPr>
                <w:rFonts w:ascii="Arial" w:hAnsi="Arial" w:cs="Arial"/>
                <w:b/>
                <w:sz w:val="20"/>
                <w:szCs w:val="20"/>
              </w:rPr>
              <w:t>Company Name</w:t>
            </w:r>
          </w:p>
        </w:tc>
        <w:tc>
          <w:tcPr>
            <w:tcW w:w="10692" w:type="dxa"/>
          </w:tcPr>
          <w:p w14:paraId="212FEBB3" w14:textId="29F91F28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53" w14:paraId="46E5C4A0" w14:textId="77777777" w:rsidTr="001B254C">
        <w:trPr>
          <w:trHeight w:val="1118"/>
        </w:trPr>
        <w:tc>
          <w:tcPr>
            <w:tcW w:w="3148" w:type="dxa"/>
          </w:tcPr>
          <w:p w14:paraId="7696B8A7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5BC4">
              <w:rPr>
                <w:rFonts w:ascii="Arial" w:hAnsi="Arial" w:cs="Arial"/>
                <w:b/>
                <w:sz w:val="20"/>
                <w:szCs w:val="20"/>
              </w:rPr>
              <w:t>Stakeholders represented</w:t>
            </w:r>
          </w:p>
        </w:tc>
        <w:tc>
          <w:tcPr>
            <w:tcW w:w="10692" w:type="dxa"/>
          </w:tcPr>
          <w:p w14:paraId="0F36DDC0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F5BC4">
              <w:rPr>
                <w:rFonts w:ascii="Arial" w:hAnsi="Arial" w:cs="Arial"/>
                <w:i/>
                <w:sz w:val="20"/>
                <w:szCs w:val="20"/>
              </w:rPr>
              <w:t>Please list all Stakeholder names responding on behalf of (including the respondent company if relevant).</w:t>
            </w:r>
          </w:p>
        </w:tc>
      </w:tr>
      <w:tr w:rsidR="000F7D53" w14:paraId="6FBF5D4B" w14:textId="77777777" w:rsidTr="001B254C">
        <w:trPr>
          <w:trHeight w:val="986"/>
        </w:trPr>
        <w:tc>
          <w:tcPr>
            <w:tcW w:w="3148" w:type="dxa"/>
          </w:tcPr>
          <w:p w14:paraId="77B4F89A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5BC4">
              <w:rPr>
                <w:rFonts w:ascii="Arial" w:hAnsi="Arial" w:cs="Arial"/>
                <w:b/>
                <w:sz w:val="20"/>
                <w:szCs w:val="20"/>
              </w:rPr>
              <w:t>Role of Respondent</w:t>
            </w:r>
          </w:p>
        </w:tc>
        <w:tc>
          <w:tcPr>
            <w:tcW w:w="10692" w:type="dxa"/>
          </w:tcPr>
          <w:p w14:paraId="74B21AE9" w14:textId="1B55071E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F5BC4">
              <w:rPr>
                <w:rFonts w:ascii="Arial" w:hAnsi="Arial" w:cs="Arial"/>
                <w:i/>
                <w:sz w:val="20"/>
                <w:szCs w:val="20"/>
              </w:rPr>
              <w:t xml:space="preserve">Eg </w:t>
            </w:r>
            <w:r w:rsidR="009A7C6C" w:rsidRPr="00AF5BC4">
              <w:rPr>
                <w:rFonts w:ascii="Arial" w:hAnsi="Arial" w:cs="Arial"/>
                <w:i/>
                <w:sz w:val="20"/>
                <w:szCs w:val="20"/>
              </w:rPr>
              <w:t>Distributor</w:t>
            </w:r>
            <w:r w:rsidRPr="00AF5BC4">
              <w:rPr>
                <w:rFonts w:ascii="Arial" w:hAnsi="Arial" w:cs="Arial"/>
                <w:i/>
                <w:sz w:val="20"/>
                <w:szCs w:val="20"/>
              </w:rPr>
              <w:t xml:space="preserve">/Supplier/Generator/ Consolidator / </w:t>
            </w:r>
            <w:r w:rsidR="009A7C6C" w:rsidRPr="00AF5BC4">
              <w:rPr>
                <w:rFonts w:ascii="Arial" w:hAnsi="Arial" w:cs="Arial"/>
                <w:i/>
                <w:sz w:val="20"/>
                <w:szCs w:val="20"/>
              </w:rPr>
              <w:t>Exemptible</w:t>
            </w:r>
            <w:r w:rsidRPr="00AF5BC4">
              <w:rPr>
                <w:rFonts w:ascii="Arial" w:hAnsi="Arial" w:cs="Arial"/>
                <w:i/>
                <w:sz w:val="20"/>
                <w:szCs w:val="20"/>
              </w:rPr>
              <w:t xml:space="preserve"> Generator / BSC Agent / Party Agent / Distributor / other – please state </w:t>
            </w:r>
            <w:bookmarkStart w:id="0" w:name="_Ref19342985"/>
            <w:r w:rsidRPr="00AF5BC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bookmarkEnd w:id="0"/>
            <w:r w:rsidRPr="00AF5BC4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0F7D53" w14:paraId="3A61BED1" w14:textId="77777777" w:rsidTr="001B254C">
        <w:tc>
          <w:tcPr>
            <w:tcW w:w="3148" w:type="dxa"/>
          </w:tcPr>
          <w:p w14:paraId="1B6B01CE" w14:textId="429C9285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F5BC4">
              <w:rPr>
                <w:rFonts w:ascii="Arial" w:hAnsi="Arial" w:cs="Arial"/>
                <w:b/>
                <w:sz w:val="20"/>
                <w:szCs w:val="20"/>
              </w:rPr>
              <w:t>We intend to publish the consultatio</w:t>
            </w:r>
            <w:r w:rsidR="001769F6">
              <w:rPr>
                <w:rFonts w:ascii="Arial" w:hAnsi="Arial" w:cs="Arial"/>
                <w:b/>
                <w:sz w:val="20"/>
                <w:szCs w:val="20"/>
              </w:rPr>
              <w:t>n responses</w:t>
            </w:r>
            <w:r w:rsidRPr="00AF5BC4">
              <w:rPr>
                <w:rFonts w:ascii="Arial" w:hAnsi="Arial" w:cs="Arial"/>
                <w:b/>
                <w:sz w:val="20"/>
                <w:szCs w:val="20"/>
              </w:rPr>
              <w:t>. Do you agree to this response bein</w:t>
            </w:r>
            <w:r w:rsidR="001769F6">
              <w:rPr>
                <w:rFonts w:ascii="Arial" w:hAnsi="Arial" w:cs="Arial"/>
                <w:b/>
                <w:sz w:val="20"/>
                <w:szCs w:val="20"/>
              </w:rPr>
              <w:t>g published</w:t>
            </w:r>
            <w:r w:rsidRPr="00AF5BC4">
              <w:rPr>
                <w:rFonts w:ascii="Arial" w:hAnsi="Arial" w:cs="Arial"/>
                <w:b/>
                <w:sz w:val="20"/>
                <w:szCs w:val="20"/>
              </w:rPr>
              <w:t>? [Y/N</w:t>
            </w:r>
            <w:r w:rsidR="00E64B29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10692" w:type="dxa"/>
          </w:tcPr>
          <w:p w14:paraId="7331038A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A2D2CE" w14:textId="77777777" w:rsidR="000F7D53" w:rsidRDefault="000F7D53"/>
    <w:tbl>
      <w:tblPr>
        <w:tblStyle w:val="TableGrid"/>
        <w:tblW w:w="14742" w:type="dxa"/>
        <w:tblInd w:w="108" w:type="dxa"/>
        <w:tblLook w:val="04A0" w:firstRow="1" w:lastRow="0" w:firstColumn="1" w:lastColumn="0" w:noHBand="0" w:noVBand="1"/>
      </w:tblPr>
      <w:tblGrid>
        <w:gridCol w:w="535"/>
        <w:gridCol w:w="5448"/>
        <w:gridCol w:w="8759"/>
      </w:tblGrid>
      <w:tr w:rsidR="000F7D53" w14:paraId="615C5719" w14:textId="77777777" w:rsidTr="001B254C">
        <w:tc>
          <w:tcPr>
            <w:tcW w:w="535" w:type="dxa"/>
          </w:tcPr>
          <w:p w14:paraId="127E10C4" w14:textId="72CE9BFE" w:rsidR="000F7D53" w:rsidRDefault="000F7D53" w:rsidP="009A7C6C">
            <w:pPr>
              <w:spacing w:before="120" w:after="120"/>
            </w:pPr>
          </w:p>
        </w:tc>
        <w:tc>
          <w:tcPr>
            <w:tcW w:w="5448" w:type="dxa"/>
          </w:tcPr>
          <w:p w14:paraId="0955E036" w14:textId="77777777" w:rsidR="000F7D53" w:rsidRPr="00AF5BC4" w:rsidRDefault="000F7D53" w:rsidP="009A7C6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F5BC4">
              <w:rPr>
                <w:rFonts w:ascii="Arial" w:hAnsi="Arial" w:cs="Arial"/>
                <w:sz w:val="20"/>
                <w:szCs w:val="20"/>
              </w:rPr>
              <w:t>Question</w:t>
            </w:r>
          </w:p>
        </w:tc>
        <w:tc>
          <w:tcPr>
            <w:tcW w:w="8759" w:type="dxa"/>
          </w:tcPr>
          <w:p w14:paraId="3E872327" w14:textId="77777777" w:rsidR="000F7D53" w:rsidRDefault="000F7D53" w:rsidP="009A7C6C">
            <w:pPr>
              <w:spacing w:before="120" w:after="120"/>
            </w:pPr>
            <w:r>
              <w:t>Response</w:t>
            </w:r>
          </w:p>
        </w:tc>
      </w:tr>
      <w:tr w:rsidR="000F7D53" w14:paraId="6C1CC637" w14:textId="77777777" w:rsidTr="001B254C">
        <w:tc>
          <w:tcPr>
            <w:tcW w:w="535" w:type="dxa"/>
          </w:tcPr>
          <w:p w14:paraId="2E86424F" w14:textId="2F278F5C" w:rsidR="000F7D53" w:rsidRDefault="00323F0D" w:rsidP="000E7256">
            <w:pPr>
              <w:spacing w:before="80" w:after="80"/>
            </w:pPr>
            <w:r>
              <w:t>Q1</w:t>
            </w:r>
          </w:p>
        </w:tc>
        <w:tc>
          <w:tcPr>
            <w:tcW w:w="5448" w:type="dxa"/>
          </w:tcPr>
          <w:p w14:paraId="377089EB" w14:textId="77777777" w:rsidR="007E0A06" w:rsidRDefault="009A4674" w:rsidP="00981833">
            <w:pPr>
              <w:pStyle w:val="ListParagraph"/>
              <w:spacing w:before="80" w:after="80"/>
              <w:ind w:left="357"/>
              <w:contextualSpacing w:val="0"/>
              <w:rPr>
                <w:rFonts w:cs="Arial"/>
                <w:szCs w:val="20"/>
              </w:rPr>
            </w:pPr>
            <w:r w:rsidRPr="009A4674">
              <w:rPr>
                <w:rFonts w:cs="Arial"/>
                <w:szCs w:val="20"/>
              </w:rPr>
              <w:t>Do you agree with the content and approach contained in EREC P2 and EREP 130, or do you have any alternatives to propose?</w:t>
            </w:r>
          </w:p>
          <w:p w14:paraId="6FAA9D93" w14:textId="0616E58A" w:rsidR="009A4674" w:rsidRPr="00AF5BC4" w:rsidRDefault="009A4674" w:rsidP="00981833">
            <w:pPr>
              <w:pStyle w:val="ListParagraph"/>
              <w:spacing w:before="80" w:after="80"/>
              <w:ind w:left="357"/>
              <w:contextualSpacing w:val="0"/>
              <w:rPr>
                <w:rFonts w:cs="Arial"/>
                <w:szCs w:val="20"/>
              </w:rPr>
            </w:pPr>
          </w:p>
        </w:tc>
        <w:tc>
          <w:tcPr>
            <w:tcW w:w="8759" w:type="dxa"/>
          </w:tcPr>
          <w:p w14:paraId="7F6BF82D" w14:textId="6B3C2682" w:rsidR="000F7D53" w:rsidRDefault="000F7D53" w:rsidP="00AF3614">
            <w:pPr>
              <w:pStyle w:val="NIEDocumentBodyLevel2"/>
              <w:ind w:left="0"/>
              <w:jc w:val="both"/>
            </w:pPr>
          </w:p>
        </w:tc>
      </w:tr>
      <w:tr w:rsidR="000F7D53" w14:paraId="1AED8677" w14:textId="77777777" w:rsidTr="001B254C">
        <w:tc>
          <w:tcPr>
            <w:tcW w:w="535" w:type="dxa"/>
          </w:tcPr>
          <w:p w14:paraId="26ED0D2A" w14:textId="1D7619F3" w:rsidR="000F7D53" w:rsidRDefault="00323F0D" w:rsidP="000E7256">
            <w:pPr>
              <w:spacing w:before="80" w:after="80"/>
            </w:pPr>
            <w:r>
              <w:t>Q2</w:t>
            </w:r>
          </w:p>
        </w:tc>
        <w:tc>
          <w:tcPr>
            <w:tcW w:w="5448" w:type="dxa"/>
          </w:tcPr>
          <w:p w14:paraId="25F2A4CE" w14:textId="77777777" w:rsidR="006C50D6" w:rsidRDefault="009A4674" w:rsidP="006C50D6">
            <w:pPr>
              <w:pStyle w:val="ListParagraph"/>
              <w:spacing w:before="80" w:after="80"/>
              <w:ind w:left="357"/>
              <w:contextualSpacing w:val="0"/>
              <w:rPr>
                <w:rFonts w:cs="Arial"/>
                <w:szCs w:val="20"/>
              </w:rPr>
            </w:pPr>
            <w:r w:rsidRPr="009A4674">
              <w:rPr>
                <w:rFonts w:cs="Arial"/>
                <w:szCs w:val="20"/>
              </w:rPr>
              <w:t>Do you have any objections to the proposal for NIE Networks to move from EREC P2/6 to P2/8?</w:t>
            </w:r>
          </w:p>
          <w:p w14:paraId="6F1ECE5C" w14:textId="0A1D6D31" w:rsidR="009A4674" w:rsidRPr="006C50D6" w:rsidRDefault="009A4674" w:rsidP="006C50D6">
            <w:pPr>
              <w:pStyle w:val="ListParagraph"/>
              <w:spacing w:before="80" w:after="80"/>
              <w:ind w:left="357"/>
              <w:contextualSpacing w:val="0"/>
              <w:rPr>
                <w:rFonts w:cs="Arial"/>
                <w:szCs w:val="20"/>
              </w:rPr>
            </w:pPr>
          </w:p>
        </w:tc>
        <w:tc>
          <w:tcPr>
            <w:tcW w:w="8759" w:type="dxa"/>
          </w:tcPr>
          <w:p w14:paraId="0BDF91EA" w14:textId="77777777" w:rsidR="007E0A06" w:rsidRDefault="007E0A06" w:rsidP="000E7256">
            <w:pPr>
              <w:spacing w:before="80" w:after="80"/>
            </w:pPr>
          </w:p>
        </w:tc>
      </w:tr>
      <w:tr w:rsidR="00AF5BC4" w14:paraId="681EA574" w14:textId="77777777" w:rsidTr="00960B47">
        <w:trPr>
          <w:trHeight w:val="1757"/>
        </w:trPr>
        <w:tc>
          <w:tcPr>
            <w:tcW w:w="535" w:type="dxa"/>
          </w:tcPr>
          <w:p w14:paraId="696A6B63" w14:textId="4BE73611" w:rsidR="00AF5BC4" w:rsidRDefault="00AF5BC4" w:rsidP="000E7256">
            <w:pPr>
              <w:spacing w:before="80" w:after="80"/>
            </w:pPr>
            <w:r>
              <w:t>Q3</w:t>
            </w:r>
          </w:p>
        </w:tc>
        <w:tc>
          <w:tcPr>
            <w:tcW w:w="5448" w:type="dxa"/>
          </w:tcPr>
          <w:p w14:paraId="32A6A429" w14:textId="38907A5E" w:rsidR="007E0A06" w:rsidRPr="00AF5BC4" w:rsidRDefault="00761FD6" w:rsidP="000E7256">
            <w:pPr>
              <w:pStyle w:val="NoSpacing"/>
              <w:spacing w:before="80" w:after="80"/>
              <w:ind w:left="385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761FD6">
              <w:rPr>
                <w:rFonts w:ascii="Arial" w:hAnsi="Arial" w:cs="Arial"/>
                <w:sz w:val="20"/>
                <w:szCs w:val="20"/>
              </w:rPr>
              <w:t>Do you have any comments regarding relaxing the security of supply in EREC P2/8 by not to restore 1.2MW (increased from 1MW) of customer demand (Class of Supply B – between 1MW and 8MW) following an outage for HV feeders up to 1km in length?</w:t>
            </w:r>
          </w:p>
        </w:tc>
        <w:tc>
          <w:tcPr>
            <w:tcW w:w="8759" w:type="dxa"/>
          </w:tcPr>
          <w:p w14:paraId="3DF481A6" w14:textId="77777777" w:rsidR="00AF5BC4" w:rsidRDefault="00AF5BC4" w:rsidP="000E7256">
            <w:pPr>
              <w:spacing w:before="80" w:after="80"/>
            </w:pPr>
          </w:p>
        </w:tc>
      </w:tr>
      <w:tr w:rsidR="00AF5BC4" w14:paraId="589552F5" w14:textId="77777777" w:rsidTr="001B254C">
        <w:tc>
          <w:tcPr>
            <w:tcW w:w="535" w:type="dxa"/>
          </w:tcPr>
          <w:p w14:paraId="513E4675" w14:textId="00121387" w:rsidR="00AF5BC4" w:rsidRDefault="00AF5BC4" w:rsidP="000E7256">
            <w:pPr>
              <w:spacing w:before="80" w:after="80"/>
            </w:pPr>
            <w:r>
              <w:t>Q4</w:t>
            </w:r>
          </w:p>
        </w:tc>
        <w:tc>
          <w:tcPr>
            <w:tcW w:w="5448" w:type="dxa"/>
          </w:tcPr>
          <w:p w14:paraId="71A38215" w14:textId="77777777" w:rsidR="007E0A06" w:rsidRDefault="009A4674" w:rsidP="007E0A06">
            <w:pPr>
              <w:pStyle w:val="ListParagraph"/>
              <w:spacing w:before="80" w:after="80"/>
              <w:ind w:left="360"/>
              <w:contextualSpacing w:val="0"/>
              <w:rPr>
                <w:rFonts w:cs="Arial"/>
                <w:szCs w:val="20"/>
              </w:rPr>
            </w:pPr>
            <w:r w:rsidRPr="009A4674">
              <w:rPr>
                <w:rFonts w:cs="Arial"/>
                <w:szCs w:val="20"/>
              </w:rPr>
              <w:t>Do you have any objections to the proposal for NIE Networks to move from EREC G5/4 to G5/5?</w:t>
            </w:r>
          </w:p>
          <w:p w14:paraId="5D21D942" w14:textId="13BDC10B" w:rsidR="009A4674" w:rsidRPr="00AF5BC4" w:rsidRDefault="009A4674" w:rsidP="007E0A06">
            <w:pPr>
              <w:pStyle w:val="ListParagraph"/>
              <w:spacing w:before="80" w:after="80"/>
              <w:ind w:left="360"/>
              <w:contextualSpacing w:val="0"/>
              <w:rPr>
                <w:rFonts w:cs="Arial"/>
                <w:szCs w:val="20"/>
              </w:rPr>
            </w:pPr>
          </w:p>
        </w:tc>
        <w:tc>
          <w:tcPr>
            <w:tcW w:w="8759" w:type="dxa"/>
          </w:tcPr>
          <w:p w14:paraId="7698A23F" w14:textId="77777777" w:rsidR="00AF5BC4" w:rsidRDefault="00AF5BC4" w:rsidP="000E7256">
            <w:pPr>
              <w:spacing w:before="80" w:after="80"/>
            </w:pPr>
          </w:p>
        </w:tc>
      </w:tr>
      <w:tr w:rsidR="001B254C" w14:paraId="046ABBB8" w14:textId="77777777" w:rsidTr="00960B47">
        <w:trPr>
          <w:trHeight w:val="888"/>
        </w:trPr>
        <w:tc>
          <w:tcPr>
            <w:tcW w:w="535" w:type="dxa"/>
          </w:tcPr>
          <w:p w14:paraId="479937D6" w14:textId="490BB0CD" w:rsidR="001B254C" w:rsidRDefault="001B254C" w:rsidP="000E7256">
            <w:pPr>
              <w:spacing w:before="80" w:after="80"/>
            </w:pPr>
            <w:r>
              <w:t>Q5</w:t>
            </w:r>
          </w:p>
        </w:tc>
        <w:tc>
          <w:tcPr>
            <w:tcW w:w="5448" w:type="dxa"/>
          </w:tcPr>
          <w:p w14:paraId="5BFFF7D0" w14:textId="1DD44C9C" w:rsidR="001B254C" w:rsidRPr="00AF3614" w:rsidRDefault="009A4674" w:rsidP="007E0A06">
            <w:pPr>
              <w:pStyle w:val="ListParagraph"/>
              <w:spacing w:before="80" w:after="80"/>
              <w:ind w:left="360"/>
              <w:contextualSpacing w:val="0"/>
              <w:rPr>
                <w:rFonts w:cs="Arial"/>
                <w:szCs w:val="20"/>
              </w:rPr>
            </w:pPr>
            <w:r w:rsidRPr="009A4674">
              <w:rPr>
                <w:rFonts w:cs="Arial"/>
                <w:szCs w:val="20"/>
              </w:rPr>
              <w:t>Do you have any objections to the proposal for NIE Networks to remove EREC P16 from the Standards?</w:t>
            </w:r>
          </w:p>
        </w:tc>
        <w:tc>
          <w:tcPr>
            <w:tcW w:w="8759" w:type="dxa"/>
          </w:tcPr>
          <w:p w14:paraId="05D2D60F" w14:textId="77777777" w:rsidR="001B254C" w:rsidRDefault="001B254C" w:rsidP="000E7256">
            <w:pPr>
              <w:spacing w:before="80" w:after="80"/>
            </w:pPr>
          </w:p>
        </w:tc>
      </w:tr>
      <w:tr w:rsidR="001B254C" w14:paraId="2F374053" w14:textId="77777777" w:rsidTr="001B254C">
        <w:tc>
          <w:tcPr>
            <w:tcW w:w="535" w:type="dxa"/>
          </w:tcPr>
          <w:p w14:paraId="0DB03326" w14:textId="3B125B9E" w:rsidR="001B254C" w:rsidRDefault="001B254C" w:rsidP="000E7256">
            <w:pPr>
              <w:spacing w:before="80" w:after="80"/>
            </w:pPr>
            <w:r>
              <w:t>Q6</w:t>
            </w:r>
          </w:p>
        </w:tc>
        <w:tc>
          <w:tcPr>
            <w:tcW w:w="5448" w:type="dxa"/>
          </w:tcPr>
          <w:p w14:paraId="7382C746" w14:textId="77777777" w:rsidR="001B254C" w:rsidRDefault="009A4674" w:rsidP="009A4674">
            <w:pPr>
              <w:pStyle w:val="ListParagraph"/>
              <w:spacing w:before="80" w:after="80"/>
              <w:ind w:left="360"/>
              <w:contextualSpacing w:val="0"/>
              <w:rPr>
                <w:rFonts w:cs="Arial"/>
                <w:szCs w:val="20"/>
              </w:rPr>
            </w:pPr>
            <w:r w:rsidRPr="009A4674">
              <w:rPr>
                <w:rFonts w:cs="Arial"/>
                <w:szCs w:val="20"/>
              </w:rPr>
              <w:t>Do you have any other relevant comments?</w:t>
            </w:r>
          </w:p>
          <w:p w14:paraId="3BA70036" w14:textId="5E801A6E" w:rsidR="009A4674" w:rsidRPr="001B254C" w:rsidRDefault="009A4674" w:rsidP="009A4674">
            <w:pPr>
              <w:pStyle w:val="ListParagraph"/>
              <w:spacing w:before="80" w:after="80"/>
              <w:ind w:left="360"/>
              <w:contextualSpacing w:val="0"/>
              <w:rPr>
                <w:rFonts w:cs="Arial"/>
                <w:szCs w:val="20"/>
              </w:rPr>
            </w:pPr>
          </w:p>
        </w:tc>
        <w:tc>
          <w:tcPr>
            <w:tcW w:w="8759" w:type="dxa"/>
          </w:tcPr>
          <w:p w14:paraId="10BFF56E" w14:textId="77777777" w:rsidR="001B254C" w:rsidRDefault="001B254C" w:rsidP="000E7256">
            <w:pPr>
              <w:spacing w:before="80" w:after="80"/>
            </w:pPr>
          </w:p>
        </w:tc>
      </w:tr>
    </w:tbl>
    <w:p w14:paraId="78A6429A" w14:textId="2C8E25A9" w:rsidR="000F7D53" w:rsidRDefault="000F7D53"/>
    <w:p w14:paraId="64479145" w14:textId="289CEBD8" w:rsidR="008613DD" w:rsidRDefault="008613DD">
      <w:r>
        <w:br w:type="page"/>
      </w:r>
    </w:p>
    <w:p w14:paraId="271086E6" w14:textId="77777777" w:rsidR="008613DD" w:rsidRDefault="008613DD"/>
    <w:p w14:paraId="1B7ED837" w14:textId="6956F4A7" w:rsidR="00736AF2" w:rsidRDefault="009D0F3A" w:rsidP="009D0F3A">
      <w:r>
        <w:t>Please provide specific comments on any of the documents included in the consultation pack</w:t>
      </w:r>
      <w:r>
        <w:rPr>
          <w:rStyle w:val="FootnoteReference"/>
        </w:rPr>
        <w:footnoteReference w:id="2"/>
      </w:r>
      <w:r>
        <w:t>.</w:t>
      </w: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81"/>
        <w:gridCol w:w="1382"/>
        <w:gridCol w:w="1382"/>
        <w:gridCol w:w="1382"/>
        <w:gridCol w:w="1382"/>
        <w:gridCol w:w="2175"/>
        <w:gridCol w:w="4986"/>
      </w:tblGrid>
      <w:tr w:rsidR="009D0F3A" w14:paraId="1AE5D5EE" w14:textId="77777777" w:rsidTr="009D0F3A">
        <w:trPr>
          <w:cantSplit/>
          <w:tblHeader/>
        </w:trPr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93D9D" w14:textId="5A064E5A" w:rsidR="009D0F3A" w:rsidRDefault="009D0F3A" w:rsidP="00E71577">
            <w:pPr>
              <w:pStyle w:val="TABLE-col-heading"/>
            </w:pPr>
            <w:r>
              <w:t>Document Name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A47C3" w14:textId="6A192C66" w:rsidR="009D0F3A" w:rsidRDefault="009D0F3A" w:rsidP="00E71577">
            <w:pPr>
              <w:pStyle w:val="TABLE-col-heading"/>
            </w:pPr>
            <w:r>
              <w:t>Page No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EFA73" w14:textId="24117CC6" w:rsidR="009D0F3A" w:rsidRDefault="009D0F3A" w:rsidP="00E71577">
            <w:pPr>
              <w:pStyle w:val="TABLE-col-heading"/>
            </w:pPr>
            <w:r>
              <w:t>Line No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6C3512" w14:textId="31599251" w:rsidR="009D0F3A" w:rsidRDefault="009D0F3A" w:rsidP="00E71577">
            <w:pPr>
              <w:pStyle w:val="TABLE-col-heading"/>
            </w:pPr>
            <w:r>
              <w:t>Clause/ Subclause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CD924" w14:textId="77777777" w:rsidR="009D0F3A" w:rsidRDefault="009D0F3A" w:rsidP="00E71577">
            <w:pPr>
              <w:pStyle w:val="TABLE-col-heading"/>
            </w:pPr>
            <w:r>
              <w:t>Paragraph Figure/ Table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32B26" w14:textId="77777777" w:rsidR="009D0F3A" w:rsidRDefault="009D0F3A" w:rsidP="00E71577">
            <w:pPr>
              <w:pStyle w:val="TABLE-col-heading"/>
            </w:pPr>
            <w:r>
              <w:t xml:space="preserve">Type </w:t>
            </w:r>
            <w:r>
              <w:br/>
              <w:t xml:space="preserve">of comment </w:t>
            </w:r>
            <w:r w:rsidRPr="00D4068D">
              <w:rPr>
                <w:b w:val="0"/>
                <w:bCs/>
                <w:sz w:val="14"/>
                <w:szCs w:val="14"/>
              </w:rPr>
              <w:t>(General/ Technical/Editorial)</w:t>
            </w:r>
          </w:p>
        </w:tc>
        <w:tc>
          <w:tcPr>
            <w:tcW w:w="177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B0807" w14:textId="77777777" w:rsidR="009D0F3A" w:rsidRDefault="009D0F3A" w:rsidP="00E71577">
            <w:pPr>
              <w:pStyle w:val="TABLE-col-heading"/>
            </w:pPr>
            <w:r>
              <w:t>COMMENTS</w:t>
            </w:r>
          </w:p>
        </w:tc>
      </w:tr>
      <w:tr w:rsidR="009D0F3A" w:rsidRPr="001B2671" w14:paraId="72473F8E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E54310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7F7F9E" w14:textId="5D4D9F4D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F1B9F5" w14:textId="256FAE53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4CDD0E" w14:textId="74EB037D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C95ADE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AFEF5B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7E67CE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018CE429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986F8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BA850" w14:textId="474A7A7A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B7CEF" w14:textId="5E4FB33A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1296" w14:textId="3277ED68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BE2D3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9ACCB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6B00D" w14:textId="43E78069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228EBCEF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D8A0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7CF20" w14:textId="12CB9A1C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ADC5" w14:textId="1894E2A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B7B0" w14:textId="2854A19C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896A9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88774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5C39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17F8DAAB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5BCCCB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86B840" w14:textId="6AFA2B4B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E393F2" w14:textId="6661C9C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F2E7FA" w14:textId="1ABF3F14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A42C6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A0A7C7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517541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46779EE1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0BD6C3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DB062F" w14:textId="4ECC34A1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3A77AE" w14:textId="5B574ABC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E9A212" w14:textId="76AF6ECC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FB5F1C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7C9575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7E6CA4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109A80A5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2E59DF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7F8582" w14:textId="603ABB3F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FAFD4" w14:textId="73890486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1708BC" w14:textId="350E1385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B6FCD2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0DED1D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4E4FE0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27553195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83A502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4902FB" w14:textId="353A8EC3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C75460" w14:textId="3931BDBE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45F237" w14:textId="0CD9420B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69EB45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736DE4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4B83AA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  <w:tr w:rsidR="009D0F3A" w:rsidRPr="001B2671" w14:paraId="39B27E26" w14:textId="77777777" w:rsidTr="009D0F3A">
        <w:trPr>
          <w:cantSplit/>
        </w:trPr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142ED9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18C201" w14:textId="2F5E1339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96291" w14:textId="400432AC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5BE744" w14:textId="4AFC9914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C3CFC8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06E85A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  <w:tc>
          <w:tcPr>
            <w:tcW w:w="1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0C7D1E" w14:textId="77777777" w:rsidR="009D0F3A" w:rsidRPr="001B2671" w:rsidRDefault="009D0F3A" w:rsidP="001B2671">
            <w:pPr>
              <w:spacing w:before="80" w:after="80"/>
              <w:rPr>
                <w:rFonts w:ascii="Arial" w:hAnsi="Arial" w:cs="Arial"/>
                <w:sz w:val="18"/>
              </w:rPr>
            </w:pPr>
          </w:p>
        </w:tc>
      </w:tr>
    </w:tbl>
    <w:p w14:paraId="088B6503" w14:textId="5987CEA7" w:rsidR="00BE0660" w:rsidRDefault="00BE0660"/>
    <w:sectPr w:rsidR="00BE0660" w:rsidSect="00145292">
      <w:headerReference w:type="default" r:id="rId12"/>
      <w:footerReference w:type="default" r:id="rId13"/>
      <w:pgSz w:w="16838" w:h="11906" w:orient="landscape"/>
      <w:pgMar w:top="1440" w:right="1440" w:bottom="1702" w:left="1440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CA2F3" w14:textId="77777777" w:rsidR="00B607E1" w:rsidRDefault="00B607E1" w:rsidP="000F7D53">
      <w:pPr>
        <w:spacing w:after="0" w:line="240" w:lineRule="auto"/>
      </w:pPr>
      <w:r>
        <w:separator/>
      </w:r>
    </w:p>
  </w:endnote>
  <w:endnote w:type="continuationSeparator" w:id="0">
    <w:p w14:paraId="2FD079F6" w14:textId="77777777" w:rsidR="00B607E1" w:rsidRDefault="00B607E1" w:rsidP="000F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27675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37427B" w14:textId="69441B9F" w:rsidR="00145292" w:rsidRDefault="001452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88FAA0" w14:textId="40A167D2" w:rsidR="00E52DF0" w:rsidRDefault="00145292">
    <w:pPr>
      <w:pStyle w:val="Footer"/>
    </w:pPr>
    <w:r>
      <w:t>January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0603F" w14:textId="77777777" w:rsidR="00B607E1" w:rsidRDefault="00B607E1" w:rsidP="000F7D53">
      <w:pPr>
        <w:spacing w:after="0" w:line="240" w:lineRule="auto"/>
      </w:pPr>
      <w:r>
        <w:separator/>
      </w:r>
    </w:p>
  </w:footnote>
  <w:footnote w:type="continuationSeparator" w:id="0">
    <w:p w14:paraId="396F5F20" w14:textId="77777777" w:rsidR="00B607E1" w:rsidRDefault="00B607E1" w:rsidP="000F7D53">
      <w:pPr>
        <w:spacing w:after="0" w:line="240" w:lineRule="auto"/>
      </w:pPr>
      <w:r>
        <w:continuationSeparator/>
      </w:r>
    </w:p>
  </w:footnote>
  <w:footnote w:id="1">
    <w:p w14:paraId="2342E1B0" w14:textId="77777777" w:rsidR="000F7D53" w:rsidRDefault="000F7D53" w:rsidP="000F7D5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16B8E">
        <w:rPr>
          <w:sz w:val="16"/>
          <w:szCs w:val="16"/>
        </w:rPr>
        <w:t>Delete as appropriate – please do not use strikeout, this is to make it easier to analyse the responses</w:t>
      </w:r>
    </w:p>
  </w:footnote>
  <w:footnote w:id="2">
    <w:p w14:paraId="78356CC9" w14:textId="77777777" w:rsidR="009D0F3A" w:rsidRDefault="009D0F3A" w:rsidP="009D0F3A">
      <w:pPr>
        <w:pStyle w:val="FootnoteText"/>
      </w:pPr>
      <w:r>
        <w:rPr>
          <w:rStyle w:val="FootnoteReference"/>
        </w:rPr>
        <w:footnoteRef/>
      </w:r>
      <w:r>
        <w:t xml:space="preserve"> Add more rows if required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A4BA8" w14:textId="38B778BC" w:rsidR="000F7D53" w:rsidRPr="007E0A06" w:rsidRDefault="00F177E0" w:rsidP="000F7D53">
    <w:pPr>
      <w:pStyle w:val="Header"/>
      <w:jc w:val="center"/>
      <w:rPr>
        <w:rFonts w:ascii="Arial" w:hAnsi="Arial" w:cs="Arial"/>
        <w:b/>
        <w:color w:val="2F5496" w:themeColor="accent5" w:themeShade="BF"/>
        <w:sz w:val="36"/>
        <w:szCs w:val="36"/>
      </w:rPr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F6E551E" wp14:editId="6AFB34CB">
          <wp:simplePos x="0" y="0"/>
          <wp:positionH relativeFrom="margin">
            <wp:posOffset>7800975</wp:posOffset>
          </wp:positionH>
          <wp:positionV relativeFrom="page">
            <wp:posOffset>254000</wp:posOffset>
          </wp:positionV>
          <wp:extent cx="1227455" cy="396240"/>
          <wp:effectExtent l="0" t="0" r="0" b="381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 Logo 02 RGB M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7455" cy="396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7D53" w:rsidRPr="007E0A06">
      <w:rPr>
        <w:rFonts w:ascii="Arial" w:hAnsi="Arial" w:cs="Arial"/>
        <w:b/>
        <w:color w:val="2F5496" w:themeColor="accent5" w:themeShade="BF"/>
        <w:sz w:val="36"/>
        <w:szCs w:val="36"/>
      </w:rPr>
      <w:t xml:space="preserve"> Consultation</w:t>
    </w:r>
    <w:r w:rsidR="00736AF2" w:rsidRPr="007E0A06">
      <w:rPr>
        <w:rFonts w:ascii="Arial" w:hAnsi="Arial" w:cs="Arial"/>
        <w:b/>
        <w:color w:val="2F5496" w:themeColor="accent5" w:themeShade="BF"/>
        <w:sz w:val="36"/>
        <w:szCs w:val="36"/>
      </w:rPr>
      <w:t xml:space="preserve"> Response Proforma</w:t>
    </w:r>
    <w:r w:rsidR="000F7D53" w:rsidRPr="007E0A06">
      <w:rPr>
        <w:rFonts w:ascii="Arial" w:hAnsi="Arial" w:cs="Arial"/>
        <w:b/>
        <w:color w:val="2F5496" w:themeColor="accent5" w:themeShade="BF"/>
        <w:sz w:val="36"/>
        <w:szCs w:val="36"/>
      </w:rPr>
      <w:t xml:space="preserve"> </w:t>
    </w:r>
  </w:p>
  <w:p w14:paraId="00052488" w14:textId="77777777" w:rsidR="000F7D53" w:rsidRDefault="000F7D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B4550"/>
    <w:multiLevelType w:val="hybridMultilevel"/>
    <w:tmpl w:val="7D46570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D402A"/>
    <w:multiLevelType w:val="hybridMultilevel"/>
    <w:tmpl w:val="7D46570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C13BB"/>
    <w:multiLevelType w:val="hybridMultilevel"/>
    <w:tmpl w:val="7D46570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0C3"/>
    <w:multiLevelType w:val="hybridMultilevel"/>
    <w:tmpl w:val="A5C61A7E"/>
    <w:lvl w:ilvl="0" w:tplc="7FD6B5B0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70" w:hanging="360"/>
      </w:pPr>
    </w:lvl>
    <w:lvl w:ilvl="2" w:tplc="0809001B" w:tentative="1">
      <w:start w:val="1"/>
      <w:numFmt w:val="lowerRoman"/>
      <w:lvlText w:val="%3."/>
      <w:lvlJc w:val="right"/>
      <w:pPr>
        <w:ind w:left="2290" w:hanging="180"/>
      </w:pPr>
    </w:lvl>
    <w:lvl w:ilvl="3" w:tplc="0809000F" w:tentative="1">
      <w:start w:val="1"/>
      <w:numFmt w:val="decimal"/>
      <w:lvlText w:val="%4."/>
      <w:lvlJc w:val="left"/>
      <w:pPr>
        <w:ind w:left="3010" w:hanging="360"/>
      </w:pPr>
    </w:lvl>
    <w:lvl w:ilvl="4" w:tplc="08090019" w:tentative="1">
      <w:start w:val="1"/>
      <w:numFmt w:val="lowerLetter"/>
      <w:lvlText w:val="%5."/>
      <w:lvlJc w:val="left"/>
      <w:pPr>
        <w:ind w:left="3730" w:hanging="360"/>
      </w:pPr>
    </w:lvl>
    <w:lvl w:ilvl="5" w:tplc="0809001B" w:tentative="1">
      <w:start w:val="1"/>
      <w:numFmt w:val="lowerRoman"/>
      <w:lvlText w:val="%6."/>
      <w:lvlJc w:val="right"/>
      <w:pPr>
        <w:ind w:left="4450" w:hanging="180"/>
      </w:pPr>
    </w:lvl>
    <w:lvl w:ilvl="6" w:tplc="0809000F" w:tentative="1">
      <w:start w:val="1"/>
      <w:numFmt w:val="decimal"/>
      <w:lvlText w:val="%7."/>
      <w:lvlJc w:val="left"/>
      <w:pPr>
        <w:ind w:left="5170" w:hanging="360"/>
      </w:pPr>
    </w:lvl>
    <w:lvl w:ilvl="7" w:tplc="08090019" w:tentative="1">
      <w:start w:val="1"/>
      <w:numFmt w:val="lowerLetter"/>
      <w:lvlText w:val="%8."/>
      <w:lvlJc w:val="left"/>
      <w:pPr>
        <w:ind w:left="5890" w:hanging="360"/>
      </w:pPr>
    </w:lvl>
    <w:lvl w:ilvl="8" w:tplc="08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4" w15:restartNumberingAfterBreak="0">
    <w:nsid w:val="405F4F30"/>
    <w:multiLevelType w:val="hybridMultilevel"/>
    <w:tmpl w:val="306AC81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0MLMwNTIzs7QwMjdR0lEKTi0uzszPAykwrAUAs3Wb3CwAAAA="/>
  </w:docVars>
  <w:rsids>
    <w:rsidRoot w:val="000F7D53"/>
    <w:rsid w:val="000008EE"/>
    <w:rsid w:val="00003CF6"/>
    <w:rsid w:val="00006131"/>
    <w:rsid w:val="00044DA9"/>
    <w:rsid w:val="00054DA6"/>
    <w:rsid w:val="000E7256"/>
    <w:rsid w:val="000F7D53"/>
    <w:rsid w:val="001405E3"/>
    <w:rsid w:val="00145292"/>
    <w:rsid w:val="00155BBC"/>
    <w:rsid w:val="001769F6"/>
    <w:rsid w:val="00186372"/>
    <w:rsid w:val="0019731F"/>
    <w:rsid w:val="001B254C"/>
    <w:rsid w:val="001B2671"/>
    <w:rsid w:val="001B3579"/>
    <w:rsid w:val="001C2787"/>
    <w:rsid w:val="001C3583"/>
    <w:rsid w:val="00245DD7"/>
    <w:rsid w:val="00261D29"/>
    <w:rsid w:val="002649FB"/>
    <w:rsid w:val="002B28D3"/>
    <w:rsid w:val="002D64E2"/>
    <w:rsid w:val="00323F0D"/>
    <w:rsid w:val="00337323"/>
    <w:rsid w:val="0039257E"/>
    <w:rsid w:val="003B4905"/>
    <w:rsid w:val="003F2634"/>
    <w:rsid w:val="003F36AB"/>
    <w:rsid w:val="00404089"/>
    <w:rsid w:val="00425829"/>
    <w:rsid w:val="00433DD7"/>
    <w:rsid w:val="004F10F9"/>
    <w:rsid w:val="004F40F5"/>
    <w:rsid w:val="005B348F"/>
    <w:rsid w:val="006C50D6"/>
    <w:rsid w:val="00732CA8"/>
    <w:rsid w:val="00736AF2"/>
    <w:rsid w:val="00761FD6"/>
    <w:rsid w:val="007A20CD"/>
    <w:rsid w:val="007A7938"/>
    <w:rsid w:val="007C4746"/>
    <w:rsid w:val="007E0A06"/>
    <w:rsid w:val="007F1BBB"/>
    <w:rsid w:val="008274AF"/>
    <w:rsid w:val="008613DD"/>
    <w:rsid w:val="008904C5"/>
    <w:rsid w:val="008979C6"/>
    <w:rsid w:val="008D37ED"/>
    <w:rsid w:val="00933B74"/>
    <w:rsid w:val="00935EB9"/>
    <w:rsid w:val="00937EB2"/>
    <w:rsid w:val="00960B47"/>
    <w:rsid w:val="00981833"/>
    <w:rsid w:val="009826D6"/>
    <w:rsid w:val="009A4674"/>
    <w:rsid w:val="009A7C6C"/>
    <w:rsid w:val="009D0F3A"/>
    <w:rsid w:val="009F06DF"/>
    <w:rsid w:val="00A87F4B"/>
    <w:rsid w:val="00AB11A1"/>
    <w:rsid w:val="00AC258D"/>
    <w:rsid w:val="00AF3614"/>
    <w:rsid w:val="00AF5BC4"/>
    <w:rsid w:val="00B064A6"/>
    <w:rsid w:val="00B10378"/>
    <w:rsid w:val="00B37873"/>
    <w:rsid w:val="00B607E1"/>
    <w:rsid w:val="00BA71E3"/>
    <w:rsid w:val="00BD30C4"/>
    <w:rsid w:val="00BE0660"/>
    <w:rsid w:val="00CA5744"/>
    <w:rsid w:val="00D35B10"/>
    <w:rsid w:val="00DE61B6"/>
    <w:rsid w:val="00DF3CA7"/>
    <w:rsid w:val="00E013A2"/>
    <w:rsid w:val="00E26EA9"/>
    <w:rsid w:val="00E428DC"/>
    <w:rsid w:val="00E4396D"/>
    <w:rsid w:val="00E52DF0"/>
    <w:rsid w:val="00E64B29"/>
    <w:rsid w:val="00F177E0"/>
    <w:rsid w:val="00F2154C"/>
    <w:rsid w:val="00F35266"/>
    <w:rsid w:val="00F71446"/>
    <w:rsid w:val="00F96E19"/>
    <w:rsid w:val="00FA53DA"/>
    <w:rsid w:val="00FA6290"/>
    <w:rsid w:val="00FC1DA8"/>
    <w:rsid w:val="00FD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DCA7B"/>
  <w15:docId w15:val="{14358DF6-B3B7-4A24-BF90-5778296D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D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D53"/>
  </w:style>
  <w:style w:type="paragraph" w:styleId="Footer">
    <w:name w:val="footer"/>
    <w:basedOn w:val="Normal"/>
    <w:link w:val="FooterChar"/>
    <w:uiPriority w:val="99"/>
    <w:unhideWhenUsed/>
    <w:rsid w:val="000F7D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D53"/>
  </w:style>
  <w:style w:type="character" w:styleId="Hyperlink">
    <w:name w:val="Hyperlink"/>
    <w:basedOn w:val="DefaultParagraphFont"/>
    <w:uiPriority w:val="99"/>
    <w:unhideWhenUsed/>
    <w:rsid w:val="000F7D53"/>
    <w:rPr>
      <w:color w:val="0000FF"/>
      <w:u w:val="single"/>
    </w:rPr>
  </w:style>
  <w:style w:type="paragraph" w:styleId="BodyText">
    <w:name w:val="Body Text"/>
    <w:aliases w:val="Body"/>
    <w:link w:val="BodyTextChar"/>
    <w:uiPriority w:val="5"/>
    <w:qFormat/>
    <w:rsid w:val="000F7D53"/>
    <w:pPr>
      <w:spacing w:after="113" w:line="260" w:lineRule="atLeast"/>
    </w:pPr>
    <w:rPr>
      <w:rFonts w:ascii="Tahoma" w:eastAsia="Times New Roman" w:hAnsi="Tahoma" w:cs="Tahoma"/>
      <w:color w:val="000000" w:themeColor="text1"/>
      <w:sz w:val="20"/>
      <w:szCs w:val="20"/>
    </w:rPr>
  </w:style>
  <w:style w:type="character" w:customStyle="1" w:styleId="BodyTextChar">
    <w:name w:val="Body Text Char"/>
    <w:aliases w:val="Body Char"/>
    <w:basedOn w:val="DefaultParagraphFont"/>
    <w:link w:val="BodyText"/>
    <w:uiPriority w:val="5"/>
    <w:rsid w:val="000F7D53"/>
    <w:rPr>
      <w:rFonts w:ascii="Tahoma" w:eastAsia="Times New Roman" w:hAnsi="Tahoma" w:cs="Tahoma"/>
      <w:color w:val="000000" w:themeColor="text1"/>
      <w:sz w:val="20"/>
      <w:szCs w:val="20"/>
    </w:rPr>
  </w:style>
  <w:style w:type="table" w:styleId="TableGrid">
    <w:name w:val="Table Grid"/>
    <w:basedOn w:val="TableNormal"/>
    <w:uiPriority w:val="39"/>
    <w:rsid w:val="000F7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0F7D53"/>
    <w:pPr>
      <w:spacing w:after="0" w:line="240" w:lineRule="auto"/>
    </w:pPr>
    <w:rPr>
      <w:rFonts w:ascii="Tahoma" w:eastAsia="Times New Roman" w:hAnsi="Tahoma" w:cs="Tahoma"/>
      <w:color w:val="000000" w:themeColor="text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F7D53"/>
    <w:rPr>
      <w:rFonts w:ascii="Tahoma" w:eastAsia="Times New Roman" w:hAnsi="Tahoma" w:cs="Tahoma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semiHidden/>
    <w:rsid w:val="000F7D53"/>
    <w:rPr>
      <w:rFonts w:ascii="Tahoma" w:hAnsi="Tahoma"/>
      <w:vertAlign w:val="superscript"/>
    </w:rPr>
  </w:style>
  <w:style w:type="paragraph" w:customStyle="1" w:styleId="TABLE-col-heading">
    <w:name w:val="TABLE-col-heading"/>
    <w:basedOn w:val="Normal"/>
    <w:rsid w:val="00736AF2"/>
    <w:pPr>
      <w:keepLines/>
      <w:spacing w:after="0" w:line="180" w:lineRule="exact"/>
      <w:ind w:left="-57" w:right="-57"/>
      <w:jc w:val="center"/>
    </w:pPr>
    <w:rPr>
      <w:rFonts w:ascii="Arial" w:eastAsia="Times New Roman" w:hAnsi="Arial" w:cs="Arial"/>
      <w:b/>
      <w:sz w:val="16"/>
      <w:lang w:eastAsia="zh-CN"/>
    </w:rPr>
  </w:style>
  <w:style w:type="paragraph" w:styleId="NoSpacing">
    <w:name w:val="No Spacing"/>
    <w:uiPriority w:val="1"/>
    <w:qFormat/>
    <w:rsid w:val="00736A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7256"/>
    <w:pPr>
      <w:ind w:left="720"/>
      <w:contextualSpacing/>
    </w:pPr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33DD7"/>
    <w:rPr>
      <w:color w:val="605E5C"/>
      <w:shd w:val="clear" w:color="auto" w:fill="E1DFDD"/>
    </w:rPr>
  </w:style>
  <w:style w:type="paragraph" w:customStyle="1" w:styleId="NIEDocumentBodyLevel2">
    <w:name w:val="NIE Document Body Level 2"/>
    <w:basedOn w:val="Normal"/>
    <w:link w:val="NIEDocumentBodyLevel2Char"/>
    <w:qFormat/>
    <w:rsid w:val="00FA6290"/>
    <w:pPr>
      <w:spacing w:before="120" w:after="120"/>
      <w:ind w:left="851"/>
    </w:pPr>
    <w:rPr>
      <w:rFonts w:eastAsia="Times New Roman" w:cs="Times New Roman"/>
      <w:sz w:val="20"/>
      <w:lang w:eastAsia="en-AU"/>
    </w:rPr>
  </w:style>
  <w:style w:type="character" w:customStyle="1" w:styleId="NIEDocumentBodyLevel2Char">
    <w:name w:val="NIE Document Body Level 2 Char"/>
    <w:link w:val="NIEDocumentBodyLevel2"/>
    <w:rsid w:val="00FA6290"/>
    <w:rPr>
      <w:rFonts w:eastAsia="Times New Roman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med.Mohamed@nienetworks.co.u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ichard.Derby@nienetworks.co.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hmed.Mohamed@nienetworks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chard.Derby@nienetworks.co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DF25-695A-4DF4-AC01-966181A3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Proforma</vt:lpstr>
    </vt:vector>
  </TitlesOfParts>
  <Company>PWRA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EREC P2 and G5 Consultation Proforma</dc:title>
  <dc:creator/>
  <cp:lastModifiedBy>Mohamed Ahmed</cp:lastModifiedBy>
  <cp:revision>39</cp:revision>
  <dcterms:created xsi:type="dcterms:W3CDTF">2019-01-07T10:20:00Z</dcterms:created>
  <dcterms:modified xsi:type="dcterms:W3CDTF">2024-01-08T11:57:00Z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1266d9950892aa56b30d3c0ac9f98d5822ea56070ae357abdb65117298322f79</vt:lpwstr>
  </property>
</Properties>
</file>